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E0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bCs w:val="0"/>
          <w:sz w:val="28"/>
          <w:szCs w:val="28"/>
          <w:lang w:eastAsia="zh-CN"/>
        </w:rPr>
      </w:pPr>
      <w:bookmarkStart w:id="0" w:name="_GoBack"/>
      <w:r>
        <w:rPr>
          <w:rStyle w:val="5"/>
          <w:b/>
          <w:bCs w:val="0"/>
          <w:sz w:val="28"/>
          <w:szCs w:val="28"/>
          <w:bdr w:val="none" w:color="auto" w:sz="0" w:space="0"/>
        </w:rPr>
        <w:t>关于开展</w:t>
      </w:r>
      <w:r>
        <w:rPr>
          <w:rStyle w:val="5"/>
          <w:rFonts w:hint="eastAsia"/>
          <w:b/>
          <w:bCs w:val="0"/>
          <w:sz w:val="28"/>
          <w:szCs w:val="28"/>
          <w:bdr w:val="none" w:color="auto" w:sz="0" w:space="0"/>
          <w:lang w:eastAsia="zh-CN"/>
        </w:rPr>
        <w:t>“</w:t>
      </w:r>
      <w:r>
        <w:rPr>
          <w:rStyle w:val="5"/>
          <w:b/>
          <w:bCs w:val="0"/>
          <w:sz w:val="28"/>
          <w:szCs w:val="28"/>
          <w:bdr w:val="none" w:color="auto" w:sz="0" w:space="0"/>
        </w:rPr>
        <w:t>人工智能时代学生人文精神的培育</w:t>
      </w:r>
      <w:r>
        <w:rPr>
          <w:rStyle w:val="5"/>
          <w:rFonts w:hint="eastAsia"/>
          <w:b/>
          <w:bCs w:val="0"/>
          <w:sz w:val="28"/>
          <w:szCs w:val="28"/>
          <w:bdr w:val="none" w:color="auto" w:sz="0" w:space="0"/>
          <w:lang w:eastAsia="zh-CN"/>
        </w:rPr>
        <w:t>”</w:t>
      </w:r>
    </w:p>
    <w:bookmarkEnd w:id="0"/>
    <w:p w14:paraId="7AC40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sz w:val="28"/>
          <w:szCs w:val="28"/>
        </w:rPr>
      </w:pPr>
      <w:r>
        <w:rPr>
          <w:rStyle w:val="5"/>
          <w:b/>
          <w:bCs w:val="0"/>
          <w:sz w:val="28"/>
          <w:szCs w:val="28"/>
          <w:bdr w:val="none" w:color="auto" w:sz="0" w:space="0"/>
        </w:rPr>
        <w:t>主题征文活动的通知</w:t>
      </w:r>
    </w:p>
    <w:p w14:paraId="040E1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BE6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r>
        <w:rPr>
          <w:rFonts w:ascii="PingFangTC-light" w:hAnsi="PingFangTC-light" w:eastAsia="PingFangTC-light" w:cs="PingFangTC-light"/>
          <w:sz w:val="24"/>
          <w:szCs w:val="24"/>
          <w:bdr w:val="none" w:color="auto" w:sz="0" w:space="0"/>
        </w:rPr>
        <w:t>习近平总书记在主持二十届中央政治局第二十次集体学习时指出：</w:t>
      </w:r>
      <w:r>
        <w:rPr>
          <w:rFonts w:hint="default" w:ascii="PingFangTC-light" w:hAnsi="PingFangTC-light" w:eastAsia="PingFangTC-light" w:cs="PingFangTC-light"/>
          <w:sz w:val="24"/>
          <w:szCs w:val="24"/>
          <w:bdr w:val="none" w:color="auto" w:sz="0" w:space="0"/>
        </w:rPr>
        <w:t>“人工智能作为引领新一轮科技革命和产业变革的战略性技术，深刻改变人类生产生活方式。”当前，人工智能技术正以前所未有的速度推动社会变革，深刻影响着人类的知识生产、学习方式与文化传承。人工智能的飞速发展，非但没有宣判文科的终结，反而在技术理性的极限处凸显了人文价值的不可替代性。当算法试图量化一切时，人类对思想、伦理与创造力的追问变得更加紧迫，这正是智能时代人文精神培育的要义所在。</w:t>
      </w:r>
    </w:p>
    <w:p w14:paraId="37279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r>
        <w:rPr>
          <w:rFonts w:hint="default" w:ascii="PingFangTC-light" w:hAnsi="PingFangTC-light" w:eastAsia="PingFangTC-light" w:cs="PingFangTC-light"/>
          <w:sz w:val="24"/>
          <w:szCs w:val="24"/>
          <w:bdr w:val="none" w:color="auto" w:sz="0" w:space="0"/>
        </w:rPr>
        <w:t>为进一步推动教育领域对智能时代教育的人文使命的理论研究与实践探索，促进学术交流与经验共享，北京师范大学第二附属中学与北京师范大学期刊社共同开展</w:t>
      </w:r>
      <w:r>
        <w:rPr>
          <w:rStyle w:val="5"/>
          <w:rFonts w:hint="default" w:ascii="PingFangTC-light" w:hAnsi="PingFangTC-light" w:eastAsia="PingFangTC-light" w:cs="PingFangTC-light"/>
          <w:sz w:val="24"/>
          <w:szCs w:val="24"/>
          <w:bdr w:val="none" w:color="auto" w:sz="0" w:space="0"/>
        </w:rPr>
        <w:t>“人工智能时代学生人文精神的培育”</w:t>
      </w:r>
      <w:r>
        <w:rPr>
          <w:rFonts w:hint="default" w:ascii="PingFangTC-light" w:hAnsi="PingFangTC-light" w:eastAsia="PingFangTC-light" w:cs="PingFangTC-light"/>
          <w:sz w:val="24"/>
          <w:szCs w:val="24"/>
          <w:bdr w:val="none" w:color="auto" w:sz="0" w:space="0"/>
        </w:rPr>
        <w:t>主题征文活动，现将有关事项通知如下。</w:t>
      </w:r>
    </w:p>
    <w:p w14:paraId="2721B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一、组织机构</w:t>
      </w:r>
    </w:p>
    <w:p w14:paraId="43E2D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北京师范大学第二附属中学</w:t>
      </w:r>
    </w:p>
    <w:p w14:paraId="045D6C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北京师范大学期刊社</w:t>
      </w:r>
    </w:p>
    <w:p w14:paraId="147797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二、征文选题方向</w:t>
      </w:r>
      <w:r>
        <w:rPr>
          <w:rFonts w:ascii="PingFangSC-ultralight" w:hAnsi="PingFangSC-ultralight" w:eastAsia="PingFangSC-ultralight" w:cs="PingFangSC-ultralight"/>
          <w:sz w:val="24"/>
          <w:szCs w:val="24"/>
          <w:bdr w:val="none" w:color="auto" w:sz="0" w:space="0"/>
        </w:rPr>
        <w:t>（供参考，题目可自拟）</w:t>
      </w:r>
    </w:p>
    <w:p w14:paraId="3FD174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r>
        <w:rPr>
          <w:rFonts w:hint="default" w:ascii="PingFangTC-light" w:hAnsi="PingFangTC-light" w:eastAsia="PingFangTC-light" w:cs="PingFangTC-light"/>
          <w:sz w:val="24"/>
          <w:szCs w:val="24"/>
          <w:bdr w:val="none" w:color="auto" w:sz="0" w:space="0"/>
        </w:rPr>
        <w:t>1.人工智能时代人文精神的突出价值</w:t>
      </w:r>
    </w:p>
    <w:p w14:paraId="723DBC3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2.人工智能时代青少年人文精神培育的核心着力点</w:t>
      </w:r>
    </w:p>
    <w:p w14:paraId="3A61902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3.人工智能时代人文精神培育的学校办学路径与策略</w:t>
      </w:r>
    </w:p>
    <w:p w14:paraId="2827018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4.人文教育与拔尖创新人才培养</w:t>
      </w:r>
    </w:p>
    <w:p w14:paraId="75E53F1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5.学科教学如何培育学生的人文精神</w:t>
      </w:r>
    </w:p>
    <w:p w14:paraId="4421EC9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6.中小学心理健康教育与人文精神培育融合路径</w:t>
      </w:r>
    </w:p>
    <w:p w14:paraId="06C6D34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7.人工智能时代教师在培育学生人文精神方面的独特价值</w:t>
      </w:r>
    </w:p>
    <w:p w14:paraId="139DD49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8.人工智能背景下人文精神培育的课程设计与资源开发</w:t>
      </w:r>
    </w:p>
    <w:p w14:paraId="20914E5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9.学生数字素养与人文精神协同发展的实践研究</w:t>
      </w:r>
    </w:p>
    <w:p w14:paraId="148618D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480" w:firstLineChars="200"/>
        <w:textAlignment w:val="auto"/>
        <w:rPr>
          <w:sz w:val="24"/>
          <w:szCs w:val="24"/>
        </w:rPr>
      </w:pPr>
      <w:r>
        <w:rPr>
          <w:rFonts w:hint="default" w:ascii="PingFangTC-light" w:hAnsi="PingFangTC-light" w:eastAsia="PingFangTC-light" w:cs="PingFangTC-light"/>
          <w:sz w:val="24"/>
          <w:szCs w:val="24"/>
        </w:rPr>
        <w:t>10.人工智能赋能人文教育的典型案例与反思</w:t>
      </w:r>
    </w:p>
    <w:p w14:paraId="5C6F0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p>
    <w:p w14:paraId="5342B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三、征文形式</w:t>
      </w:r>
    </w:p>
    <w:p w14:paraId="0CCC5A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spacing w:val="8"/>
          <w:sz w:val="24"/>
          <w:szCs w:val="24"/>
          <w:bdr w:val="none" w:color="auto" w:sz="0" w:space="0"/>
        </w:rPr>
        <w:t>学术论文</w:t>
      </w:r>
    </w:p>
    <w:p w14:paraId="3329A1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四、征文要求</w:t>
      </w:r>
    </w:p>
    <w:p w14:paraId="62995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sz w:val="24"/>
          <w:szCs w:val="24"/>
        </w:rPr>
      </w:pPr>
      <w:r>
        <w:rPr>
          <w:rFonts w:hint="default" w:ascii="PingFangTC-light" w:hAnsi="PingFangTC-light" w:eastAsia="PingFangTC-light" w:cs="PingFangTC-light"/>
          <w:spacing w:val="8"/>
          <w:sz w:val="24"/>
          <w:szCs w:val="24"/>
          <w:bdr w:val="none" w:color="auto" w:sz="0" w:space="0"/>
        </w:rPr>
        <w:t>1.论文须为作者独立完成、未公开发表过的原创作品，严禁抄袭、洗稿或用AI工具撰写、生成（包括主体架构、核心观点和主要内容）。</w:t>
      </w:r>
    </w:p>
    <w:p w14:paraId="13FF057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2.论文主题鲜明，具有一定的创新性，立论科学，逻辑清晰，论证合理，材料翔实，字数不超过6500字。</w:t>
      </w:r>
    </w:p>
    <w:p w14:paraId="0847707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3.论文依次包括：题目、作者姓名、作者单位、摘要、关键词、正文、参考文献、作者简介。</w:t>
      </w:r>
    </w:p>
    <w:p w14:paraId="1BD0A2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4.正文中的注释按顺序编号，列于页下。</w:t>
      </w:r>
    </w:p>
    <w:p w14:paraId="48B0A2C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5.参考文献按顺序编号，集中列于文后。</w:t>
      </w:r>
    </w:p>
    <w:p w14:paraId="15FB8AD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6.注释、参考文献的格式如下：</w:t>
      </w:r>
    </w:p>
    <w:p w14:paraId="6A1C900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（1）图书：[序号]作者.书名[M].城市：出版者，出版年：页码；</w:t>
      </w:r>
    </w:p>
    <w:p w14:paraId="0FBA489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（2）期刊：[序号]作者.篇名[J].刊名，期号：页码；</w:t>
      </w:r>
    </w:p>
    <w:p w14:paraId="3874B1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（3）报纸：[序号]作者.篇名[N]，报纸名称，发行日期；</w:t>
      </w:r>
    </w:p>
    <w:p w14:paraId="41FD37B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（4）网络文献：[序号]作者.文献名[EB/OL].（发布日期）[引用日期].网址。</w:t>
      </w:r>
    </w:p>
    <w:p w14:paraId="7C0B399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7.文末请注明作者姓名、单位、手机号码、电子邮箱、通讯地址、邮政编码。</w:t>
      </w:r>
    </w:p>
    <w:p w14:paraId="5F2E5AC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firstLine="512" w:firstLineChars="200"/>
        <w:jc w:val="both"/>
        <w:textAlignment w:val="auto"/>
        <w:rPr>
          <w:sz w:val="24"/>
          <w:szCs w:val="24"/>
        </w:rPr>
      </w:pPr>
      <w:r>
        <w:rPr>
          <w:rFonts w:hint="default" w:ascii="PingFangTC-light" w:hAnsi="PingFangTC-light" w:eastAsia="PingFangTC-light" w:cs="PingFangTC-light"/>
          <w:spacing w:val="8"/>
          <w:sz w:val="24"/>
          <w:szCs w:val="24"/>
        </w:rPr>
        <w:t>8.于2026年6月20日前提交论文全文（Word文档）至邮箱 ctwhgdlt@163.com。</w:t>
      </w:r>
    </w:p>
    <w:p w14:paraId="71AA09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p>
    <w:p w14:paraId="0A4861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五、论文推荐与评审</w:t>
      </w:r>
    </w:p>
    <w:p w14:paraId="350A7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征文截止后，由活动主办方成立评审委员会，经学术不端检测系统查重（查重率超过20%的论文取消参评资格），组织初评、复评、终评三级评审。</w:t>
      </w:r>
    </w:p>
    <w:p w14:paraId="30B0DA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优秀作品颁发证书，并择优推荐至《中国教师》《教学管理与教育研究》《新课程教学（电子版）》等期刊发表；部分优秀征文作者将被邀请参加专题论坛作主题发言。</w:t>
      </w:r>
    </w:p>
    <w:p w14:paraId="350E4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sz w:val="24"/>
          <w:szCs w:val="24"/>
        </w:rPr>
      </w:pPr>
    </w:p>
    <w:p w14:paraId="77BA65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sz w:val="24"/>
          <w:szCs w:val="24"/>
        </w:rPr>
      </w:pPr>
      <w:r>
        <w:rPr>
          <w:rStyle w:val="5"/>
          <w:sz w:val="24"/>
          <w:szCs w:val="24"/>
          <w:bdr w:val="none" w:color="auto" w:sz="0" w:space="0"/>
        </w:rPr>
        <w:t>六、征文联系</w:t>
      </w:r>
    </w:p>
    <w:p w14:paraId="368F49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联系人：符永兰老师</w:t>
      </w:r>
    </w:p>
    <w:p w14:paraId="1C138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电子邮箱：ctwhgdlt@163.com</w:t>
      </w:r>
    </w:p>
    <w:p w14:paraId="44026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12" w:firstLineChars="200"/>
        <w:textAlignment w:val="auto"/>
        <w:rPr>
          <w:sz w:val="24"/>
          <w:szCs w:val="24"/>
        </w:rPr>
      </w:pPr>
      <w:r>
        <w:rPr>
          <w:rFonts w:hint="default" w:ascii="PingFangTC-light" w:hAnsi="PingFangTC-light" w:eastAsia="PingFangTC-light" w:cs="PingFangTC-light"/>
          <w:spacing w:val="8"/>
          <w:sz w:val="24"/>
          <w:szCs w:val="24"/>
          <w:bdr w:val="none" w:color="auto" w:sz="0" w:space="0"/>
        </w:rPr>
        <w:t>欢迎各有关单位积极组织，请广大教育工作者踊跃投稿。</w:t>
      </w:r>
    </w:p>
    <w:p w14:paraId="5413FC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TC-light">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PingFangSC-ultralight">
    <w:altName w:val="FFont-Family"/>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ZTQ3MWVjYzAyYTc5NTMyODhmNTlhYjkxN2JkMTQifQ=="/>
  </w:docVars>
  <w:rsids>
    <w:rsidRoot w:val="7A356991"/>
    <w:rsid w:val="7A356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2026-05-16T23:49:00Z</dcterms:created>
  <dc:creator>冯爱婷</dc:creator>
  <cp:lastModifiedBy>冯爱婷</cp:lastModifiedBy>
  <dcterms:modified xsi:type="dcterms:W3CDTF">2026-05-16T23:51:44Z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B1A15ADDB47448DF955AA4EE7C012DF7_11</vt:lpwstr>
  </property>
</Properties>
</file>